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E23EF4">
      <w:pPr>
        <w:spacing w:line="500" w:lineRule="exact"/>
        <w:jc w:val="center"/>
        <w:rPr>
          <w:rFonts w:ascii="方正小标宋简体" w:hAnsi="方正小标宋简体" w:eastAsia="方正小标宋简体" w:cs="方正小标宋简体"/>
          <w:b/>
          <w:color w:val="000000"/>
          <w:sz w:val="44"/>
          <w:szCs w:val="44"/>
        </w:rPr>
      </w:pPr>
      <w:r>
        <w:rPr>
          <w:rFonts w:hint="eastAsia" w:ascii="方正小标宋简体" w:hAnsi="方正小标宋简体" w:eastAsia="方正小标宋简体" w:cs="方正小标宋简体"/>
          <w:b/>
          <w:color w:val="000000"/>
          <w:sz w:val="44"/>
          <w:szCs w:val="44"/>
        </w:rPr>
        <w:t>选题指南</w:t>
      </w:r>
    </w:p>
    <w:p w14:paraId="063B79FF">
      <w:pPr>
        <w:spacing w:line="200" w:lineRule="exact"/>
        <w:jc w:val="center"/>
        <w:rPr>
          <w:rFonts w:ascii="方正小标宋简体" w:hAnsi="方正小标宋简体" w:eastAsia="方正小标宋简体" w:cs="方正小标宋简体"/>
          <w:b/>
          <w:color w:val="000000"/>
          <w:sz w:val="28"/>
          <w:szCs w:val="28"/>
        </w:rPr>
      </w:pPr>
    </w:p>
    <w:tbl>
      <w:tblPr>
        <w:tblStyle w:val="7"/>
        <w:tblW w:w="90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1"/>
      </w:tblGrid>
      <w:tr w14:paraId="61E99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blHeader/>
        </w:trPr>
        <w:tc>
          <w:tcPr>
            <w:tcW w:w="9051" w:type="dxa"/>
            <w:shd w:val="clear" w:color="auto" w:fill="auto"/>
            <w:vAlign w:val="center"/>
          </w:tcPr>
          <w:p w14:paraId="32D5C71F">
            <w:pPr>
              <w:spacing w:line="300" w:lineRule="exact"/>
              <w:jc w:val="center"/>
              <w:rPr>
                <w:rFonts w:ascii="仿宋_GB2312" w:hAnsi="仿宋_GB2312" w:eastAsia="仿宋_GB2312" w:cs="仿宋_GB2312"/>
                <w:b/>
                <w:sz w:val="24"/>
                <w:szCs w:val="24"/>
              </w:rPr>
            </w:pPr>
            <w:r>
              <w:rPr>
                <w:rFonts w:hint="eastAsia" w:ascii="仿宋_GB2312" w:hAnsi="仿宋_GB2312" w:eastAsia="仿宋_GB2312" w:cs="仿宋_GB2312"/>
                <w:b/>
                <w:sz w:val="24"/>
                <w:szCs w:val="24"/>
              </w:rPr>
              <w:t>选题方向</w:t>
            </w:r>
          </w:p>
        </w:tc>
      </w:tr>
      <w:tr w14:paraId="679CD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00" w:hRule="atLeast"/>
        </w:trPr>
        <w:tc>
          <w:tcPr>
            <w:tcW w:w="9051" w:type="dxa"/>
            <w:vAlign w:val="center"/>
          </w:tcPr>
          <w:p w14:paraId="0ADF0A43">
            <w:pPr>
              <w:spacing w:line="440" w:lineRule="exact"/>
              <w:jc w:val="left"/>
              <w:rPr>
                <w:rFonts w:hint="default" w:ascii="仿宋_GB2312" w:hAnsi="仿宋_GB2312" w:eastAsia="仿宋_GB2312" w:cs="仿宋_GB2312"/>
                <w:b/>
                <w:bCs w:val="0"/>
                <w:sz w:val="24"/>
                <w:szCs w:val="24"/>
                <w:lang w:val="en-US" w:eastAsia="zh-CN"/>
              </w:rPr>
            </w:pPr>
            <w:r>
              <w:rPr>
                <w:rFonts w:hint="eastAsia" w:ascii="仿宋_GB2312" w:hAnsi="仿宋_GB2312" w:eastAsia="仿宋_GB2312" w:cs="仿宋_GB2312"/>
                <w:b/>
                <w:bCs w:val="0"/>
                <w:sz w:val="24"/>
                <w:szCs w:val="24"/>
                <w:lang w:val="en-US" w:eastAsia="zh-CN"/>
              </w:rPr>
              <w:t>第一部分</w:t>
            </w:r>
          </w:p>
          <w:p w14:paraId="79D53199">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（一）教育强国强省建设路径与战略研究</w:t>
            </w:r>
          </w:p>
          <w:p w14:paraId="1297AE98">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（二）“十五五”时期高等教育战略定位、系统设计与实施路径研究</w:t>
            </w:r>
          </w:p>
          <w:p w14:paraId="73C1CFFC">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（三）一体推进教育科技人才发展的培养模式研究</w:t>
            </w:r>
          </w:p>
          <w:p w14:paraId="0D7112CC">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（四）高等学校人才培养质量评价体系、方法研究与实践</w:t>
            </w:r>
          </w:p>
          <w:p w14:paraId="628481AF">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（五）高校科技创新与产业创新深度融合发展研究</w:t>
            </w:r>
          </w:p>
          <w:p w14:paraId="67E8820D">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（六）跨学科人才培养模式创新与核心课程体系重构研究</w:t>
            </w:r>
          </w:p>
          <w:p w14:paraId="1453F68F">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（七）数字化转型背景下的高校人才培养模式研究与实践</w:t>
            </w:r>
          </w:p>
          <w:p w14:paraId="3CE2C4B6">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（八）人工智能驱动的高校个性化学习系统构建与应用</w:t>
            </w:r>
          </w:p>
          <w:p w14:paraId="50028C5A">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（九）高等教育普及化背景下高等教育可持续发展与结构优化研究</w:t>
            </w:r>
          </w:p>
          <w:p w14:paraId="000D1865">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（十）人口减量背景下高等教育可持续发展与结构优化研究</w:t>
            </w:r>
          </w:p>
          <w:p w14:paraId="71C88B59">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（十一）高等教育学科专业交叉融合发展与交叉学科建设研究（可分新文科、新工科、新医科、新农科、新师范等方向）</w:t>
            </w:r>
          </w:p>
          <w:p w14:paraId="1D33F6B9">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（十二）高校分类发展与评价标准研究</w:t>
            </w:r>
          </w:p>
          <w:p w14:paraId="094D97F5">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（十三）新型研究型大学的可持续发展研究</w:t>
            </w:r>
          </w:p>
          <w:p w14:paraId="38E32C4A">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（十四）学术型高校人才培养模式研究与实践</w:t>
            </w:r>
          </w:p>
          <w:p w14:paraId="4820EA59">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（十五）应用型高校人才培养模式研究与实践</w:t>
            </w:r>
          </w:p>
          <w:p w14:paraId="2F13BBB1">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（十六）应用型本科高校服务地方经济发展评价体系研究</w:t>
            </w:r>
          </w:p>
          <w:p w14:paraId="4D4DB4DA">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（十七）高校教学评价机制、激励机制和保障机制研究与实践</w:t>
            </w:r>
          </w:p>
          <w:p w14:paraId="01F41AE5">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（十八）高质量教育体系下民办高校治理现代化路径研究</w:t>
            </w:r>
          </w:p>
          <w:p w14:paraId="62406E91">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（十九）民办高校分类发展的政策支持与质量保障研究</w:t>
            </w:r>
          </w:p>
          <w:p w14:paraId="2CFB94B3">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（二十）高等教育数字化转型中的伦理风险与治理研究</w:t>
            </w:r>
          </w:p>
          <w:p w14:paraId="39819F3A">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（二十 一）高校美育与中华优秀传统文化融合的教学实践</w:t>
            </w:r>
          </w:p>
          <w:p w14:paraId="25B8729B">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（二十二） 高校劳动教育课程体系建设与实践路径研究</w:t>
            </w:r>
          </w:p>
          <w:p w14:paraId="79D2F65A">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（二十三） 高校通识课程与公共基础课程教学改革与实践</w:t>
            </w:r>
          </w:p>
          <w:p w14:paraId="4EC340E9">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（二十四） 人工智能与高校思想政治教育融合研究</w:t>
            </w:r>
          </w:p>
          <w:p w14:paraId="38C8816A">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（二十五） 高校学生自主学习能力培养的策略与实践</w:t>
            </w:r>
          </w:p>
          <w:p w14:paraId="1F033D5C">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（二十六）创新课程知识体系建设研究</w:t>
            </w:r>
          </w:p>
          <w:p w14:paraId="75AF2F25">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（二十七）高校毕业生高质量充分就业研究</w:t>
            </w:r>
          </w:p>
          <w:p w14:paraId="0EE8BFBD">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（二十八）推进市域产教联合体、行业产教融合共同体建设研究</w:t>
            </w:r>
          </w:p>
          <w:p w14:paraId="1A63855E">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（二十九）高等教育集群发展研究</w:t>
            </w:r>
          </w:p>
          <w:p w14:paraId="0CF1D7DE">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 三十）高等教育合作发展的人才培养体系研究</w:t>
            </w:r>
          </w:p>
          <w:p w14:paraId="065A9FE9">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（三十一）高等教育高水平对外开放对高校人才培养模式的影响</w:t>
            </w:r>
          </w:p>
          <w:p w14:paraId="2E95AB90">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（三十 二）高校国际交流与合作中的教学质量保障研究</w:t>
            </w:r>
          </w:p>
          <w:p w14:paraId="721B8EDA">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（二十三）未来教师素质与能力研究</w:t>
            </w:r>
          </w:p>
          <w:p w14:paraId="33B49CCB">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（三十四）本科高校教师教学能力、科研能力提升方式与途径研究</w:t>
            </w:r>
          </w:p>
          <w:p w14:paraId="19F1344F">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（三十五） 以赛促教的高校竞赛实践与研究</w:t>
            </w:r>
          </w:p>
          <w:p w14:paraId="65A9BE85">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（三十六）高校教师教学创新大赛赋能课堂教学与人才培养研究</w:t>
            </w:r>
          </w:p>
          <w:p w14:paraId="1C729E4B">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（三十七） 高校践行教育家精神的教师成长机制研究</w:t>
            </w:r>
          </w:p>
          <w:p w14:paraId="74BA2599">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（三十八）研究生教育综合改革研究</w:t>
            </w:r>
          </w:p>
          <w:p w14:paraId="12F9F429">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（三十九）高校人工智能专业布局与人才培养质量提升研究</w:t>
            </w:r>
          </w:p>
          <w:p w14:paraId="1F00E388">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（四十） AI 产业紧缺人才目录、能力标准与高校培养方案适配的课题研究</w:t>
            </w:r>
          </w:p>
          <w:p w14:paraId="5DB3B02C">
            <w:pPr>
              <w:spacing w:line="440" w:lineRule="exact"/>
              <w:jc w:val="left"/>
              <w:rPr>
                <w:rFonts w:hint="eastAsia" w:ascii="仿宋_GB2312" w:hAnsi="仿宋_GB2312" w:eastAsia="仿宋_GB2312" w:cs="仿宋_GB2312"/>
                <w:b/>
                <w:bCs w:val="0"/>
                <w:sz w:val="24"/>
                <w:szCs w:val="24"/>
                <w:lang w:val="en-US" w:eastAsia="zh-CN"/>
              </w:rPr>
            </w:pPr>
            <w:r>
              <w:rPr>
                <w:rFonts w:hint="eastAsia" w:ascii="仿宋_GB2312" w:hAnsi="仿宋_GB2312" w:eastAsia="仿宋_GB2312" w:cs="仿宋_GB2312"/>
                <w:b/>
                <w:bCs w:val="0"/>
                <w:sz w:val="24"/>
                <w:szCs w:val="24"/>
                <w:lang w:val="en-US" w:eastAsia="zh-CN"/>
              </w:rPr>
              <w:t>第二部分</w:t>
            </w:r>
          </w:p>
          <w:p w14:paraId="70FA6E64">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 一） “十五五”时期职业教育发展定位与实施路径研究</w:t>
            </w:r>
          </w:p>
          <w:p w14:paraId="2760F2F0">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（二）服务“制造业当家”战略的职业教育技能人才培养体系研究</w:t>
            </w:r>
          </w:p>
          <w:p w14:paraId="067CE530">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（三）高质量发展背景下职业教育专业结构的优化策略与实证研究</w:t>
            </w:r>
          </w:p>
          <w:p w14:paraId="64E170E7">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（四）产教融合共同体视角下职业院校专业精准对接产业需求的路径研究</w:t>
            </w:r>
          </w:p>
          <w:p w14:paraId="50345B7D">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（五）普职融通背景下中高本一体化贯通培养的路径与机制创新研究</w:t>
            </w:r>
          </w:p>
          <w:p w14:paraId="6295F1EC">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（六）服务学生多样化成才的普职融通与多层次技术技能人才衔接培养体系构建</w:t>
            </w:r>
          </w:p>
          <w:p w14:paraId="7F1B992C">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（七）现代职业教育体系高质量发展的内涵、测度与推进路径研究</w:t>
            </w:r>
          </w:p>
          <w:p w14:paraId="42BE94FD">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（八）高职院校“新双高”建设的内涵、路径与评价研究</w:t>
            </w:r>
          </w:p>
          <w:p w14:paraId="0EE9C0C7">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（九）基于数智化转型的高职院校人才培养模式研究</w:t>
            </w:r>
          </w:p>
          <w:p w14:paraId="00C9A03F">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（十 ）高职院校国际化人才培养模式研究与实践</w:t>
            </w:r>
          </w:p>
          <w:p w14:paraId="1A41ADCB">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（十 一）“走出去”办学的国际高等职业教育合作机制研究</w:t>
            </w:r>
          </w:p>
          <w:p w14:paraId="79364174">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（十二） 高职院校劳动教育模式创新研究</w:t>
            </w:r>
          </w:p>
          <w:p w14:paraId="5E32D67B">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（十三 ）高职院校美育教育模式创新研究</w:t>
            </w:r>
          </w:p>
          <w:p w14:paraId="4E0A2CF4">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（十四 ）高职院校体育教育模式创新研究</w:t>
            </w:r>
          </w:p>
          <w:p w14:paraId="52FBB269">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（十五） 高职院校学徒制人才培养模式改革研究</w:t>
            </w:r>
          </w:p>
          <w:p w14:paraId="30A36310">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（十六 ）现代产业学院视域下跨学科人才培养路径研究</w:t>
            </w:r>
          </w:p>
          <w:p w14:paraId="4F2AA9BD">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（十七 ）高职院校思政课程育人效果提升研究与实践</w:t>
            </w:r>
          </w:p>
          <w:p w14:paraId="4E2C2629">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（十八）高职院校课程质量建设提升路径与模式创新研究</w:t>
            </w:r>
          </w:p>
          <w:p w14:paraId="28DD59A3">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（十九）高职院校专业认证与评估体系的研究</w:t>
            </w:r>
          </w:p>
          <w:p w14:paraId="4A84CC66">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（二十） 高职院校高水平专业群建设的理论与实践研究</w:t>
            </w:r>
          </w:p>
          <w:p w14:paraId="7841E2AB">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（二十一）高职院校大学生心理健康教育课堂教学模式研究</w:t>
            </w:r>
          </w:p>
          <w:p w14:paraId="00D643D4">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（二十二）高职院校数字化教材建设的教学内容与教学方</w:t>
            </w:r>
            <w:bookmarkStart w:id="0" w:name="_GoBack"/>
            <w:bookmarkEnd w:id="0"/>
            <w:r>
              <w:rPr>
                <w:rFonts w:hint="default" w:ascii="仿宋_GB2312" w:hAnsi="仿宋_GB2312" w:eastAsia="仿宋_GB2312" w:cs="仿宋_GB2312"/>
                <w:bCs/>
                <w:sz w:val="24"/>
                <w:szCs w:val="24"/>
                <w:lang w:val="en-US" w:eastAsia="zh-CN"/>
              </w:rPr>
              <w:t>法研究</w:t>
            </w:r>
          </w:p>
          <w:p w14:paraId="2533EB88">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（二十三 ）高职院校的校外实习基地建设模式和运行机制的研究与实践</w:t>
            </w:r>
          </w:p>
          <w:p w14:paraId="035F1B20">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（二十四 ）高职院校以赛促教的竞赛实践与研究</w:t>
            </w:r>
          </w:p>
          <w:p w14:paraId="2FF78E4E">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（二十五 ）高职院校学生科技竞赛活动组织管理模式的研究</w:t>
            </w:r>
          </w:p>
          <w:p w14:paraId="5FF5F41F">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（二十六 ）基于数字化转型的高职院校教学质量保障体系研究</w:t>
            </w:r>
          </w:p>
          <w:p w14:paraId="2BBE1314">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（二十七 ）人工智能赋能职业教育应用场景创新研究</w:t>
            </w:r>
          </w:p>
          <w:p w14:paraId="530AA13E">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（二十八）高职院校教学质量管理体制、监控体系和保障体系的研究</w:t>
            </w:r>
          </w:p>
          <w:p w14:paraId="4BCF4E2B">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（二十九）高职院校专业认证（评估）、课程质量评估的研究</w:t>
            </w:r>
          </w:p>
          <w:p w14:paraId="2813A755">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（三十 ）高职院校“五金”（金专、金课、金师、金地、金教材）建设与专业群协同发展研究</w:t>
            </w:r>
          </w:p>
          <w:p w14:paraId="5F709858">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（三十 一）高职院校服务区域产业发展能力研究</w:t>
            </w:r>
          </w:p>
          <w:p w14:paraId="5BBC5B3C">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（三十二）高职院校国内外跨校学分互认机制和管理制度研究</w:t>
            </w:r>
          </w:p>
          <w:p w14:paraId="2452DF22">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（三十三 ）高职院校教师教学能力、实践能力提升方式与途径研究</w:t>
            </w:r>
          </w:p>
          <w:p w14:paraId="4E183EB6">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（三十四 ）高职院校“双师型”师资队伍建设的研究与实践</w:t>
            </w:r>
          </w:p>
          <w:p w14:paraId="6350E8A0">
            <w:pPr>
              <w:spacing w:line="440" w:lineRule="exact"/>
              <w:jc w:val="left"/>
              <w:rPr>
                <w:rFonts w:hint="default" w:ascii="仿宋_GB2312" w:hAnsi="仿宋_GB2312" w:eastAsia="仿宋_GB2312" w:cs="仿宋_GB2312"/>
                <w:bCs/>
                <w:sz w:val="24"/>
                <w:szCs w:val="24"/>
                <w:lang w:val="en-US" w:eastAsia="zh-CN"/>
              </w:rPr>
            </w:pPr>
            <w:r>
              <w:rPr>
                <w:rFonts w:hint="default" w:ascii="仿宋_GB2312" w:hAnsi="仿宋_GB2312" w:eastAsia="仿宋_GB2312" w:cs="仿宋_GB2312"/>
                <w:bCs/>
                <w:sz w:val="24"/>
                <w:szCs w:val="24"/>
                <w:lang w:val="en-US" w:eastAsia="zh-CN"/>
              </w:rPr>
              <w:t>（三十五 ）社区教育、终身教育和技能培训大背景下的职业教育发展研究</w:t>
            </w:r>
          </w:p>
        </w:tc>
      </w:tr>
    </w:tbl>
    <w:p w14:paraId="4C31C653">
      <w:pPr>
        <w:rPr>
          <w:rFonts w:hint="eastAsia" w:ascii="Times New Roman" w:hAnsi="Times New Roman" w:eastAsia="仿宋_GB2312"/>
          <w:color w:val="000000"/>
          <w:kern w:val="0"/>
          <w:sz w:val="32"/>
          <w:szCs w:val="32"/>
        </w:rPr>
      </w:pPr>
    </w:p>
    <w:sectPr>
      <w:pgSz w:w="11906" w:h="16838"/>
      <w:pgMar w:top="1440" w:right="1701" w:bottom="1440" w:left="170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小标宋简体">
    <w:altName w:val="方正舒体"/>
    <w:panose1 w:val="03000509000000000000"/>
    <w:charset w:val="86"/>
    <w:family w:val="script"/>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Y0ZTFkNTg0ZmEyNjY3MGZiMTcxMDA0NjNhODJmMmYifQ=="/>
  </w:docVars>
  <w:rsids>
    <w:rsidRoot w:val="003A7326"/>
    <w:rsid w:val="003A7326"/>
    <w:rsid w:val="009C52D1"/>
    <w:rsid w:val="00A56555"/>
    <w:rsid w:val="00AA5006"/>
    <w:rsid w:val="00AE2C63"/>
    <w:rsid w:val="00C342A9"/>
    <w:rsid w:val="00E53ADE"/>
    <w:rsid w:val="00E73D40"/>
    <w:rsid w:val="199166D4"/>
    <w:rsid w:val="212470F9"/>
    <w:rsid w:val="2781226B"/>
    <w:rsid w:val="322520ED"/>
    <w:rsid w:val="36EC2158"/>
    <w:rsid w:val="4B1F068D"/>
    <w:rsid w:val="5B152B7B"/>
    <w:rsid w:val="69835846"/>
    <w:rsid w:val="6B03234B"/>
    <w:rsid w:val="7F310E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11"/>
    <w:qFormat/>
    <w:uiPriority w:val="9"/>
    <w:pPr>
      <w:widowControl/>
      <w:spacing w:before="120" w:after="360" w:line="480" w:lineRule="exact"/>
      <w:contextualSpacing/>
      <w:jc w:val="center"/>
      <w:outlineLvl w:val="0"/>
    </w:pPr>
    <w:rPr>
      <w:rFonts w:eastAsia="微软雅黑"/>
      <w:b/>
      <w:bCs/>
      <w:iCs/>
      <w:color w:val="0F243E"/>
      <w:kern w:val="0"/>
      <w:sz w:val="32"/>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semiHidden/>
    <w:qFormat/>
    <w:uiPriority w:val="0"/>
    <w:rPr>
      <w:rFonts w:ascii="仿宋" w:hAnsi="仿宋" w:eastAsia="仿宋" w:cs="仿宋"/>
      <w:sz w:val="31"/>
      <w:szCs w:val="31"/>
      <w:lang w:val="en-US" w:eastAsia="en-US" w:bidi="ar-SA"/>
    </w:rPr>
  </w:style>
  <w:style w:type="paragraph" w:styleId="4">
    <w:name w:val="footer"/>
    <w:basedOn w:val="1"/>
    <w:link w:val="10"/>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6">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customStyle="1" w:styleId="9">
    <w:name w:val="页眉 字符"/>
    <w:basedOn w:val="8"/>
    <w:link w:val="5"/>
    <w:qFormat/>
    <w:uiPriority w:val="99"/>
    <w:rPr>
      <w:sz w:val="18"/>
      <w:szCs w:val="18"/>
    </w:rPr>
  </w:style>
  <w:style w:type="character" w:customStyle="1" w:styleId="10">
    <w:name w:val="页脚 字符"/>
    <w:basedOn w:val="8"/>
    <w:link w:val="4"/>
    <w:qFormat/>
    <w:uiPriority w:val="99"/>
    <w:rPr>
      <w:sz w:val="18"/>
      <w:szCs w:val="18"/>
    </w:rPr>
  </w:style>
  <w:style w:type="character" w:customStyle="1" w:styleId="11">
    <w:name w:val="标题 1 字符"/>
    <w:basedOn w:val="8"/>
    <w:link w:val="2"/>
    <w:qFormat/>
    <w:uiPriority w:val="9"/>
    <w:rPr>
      <w:rFonts w:ascii="Calibri" w:hAnsi="Calibri" w:eastAsia="微软雅黑" w:cs="Times New Roman"/>
      <w:b/>
      <w:bCs/>
      <w:iCs/>
      <w:color w:val="0F243E"/>
      <w:kern w:val="0"/>
      <w:sz w:val="32"/>
    </w:rPr>
  </w:style>
  <w:style w:type="paragraph" w:styleId="12">
    <w:name w:val="List Paragraph"/>
    <w:basedOn w:val="1"/>
    <w:qFormat/>
    <w:uiPriority w:val="34"/>
    <w:pPr>
      <w:widowControl/>
      <w:spacing w:before="120" w:after="120"/>
      <w:ind w:left="720" w:firstLine="200" w:firstLineChars="200"/>
      <w:contextualSpacing/>
    </w:pPr>
    <w:rPr>
      <w:iCs/>
      <w:color w:val="000000"/>
      <w:kern w:val="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1241</Words>
  <Characters>1373</Characters>
  <Lines>22</Lines>
  <Paragraphs>6</Paragraphs>
  <TotalTime>4</TotalTime>
  <ScaleCrop>false</ScaleCrop>
  <LinksUpToDate>false</LinksUpToDate>
  <CharactersWithSpaces>1381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2020-11-26T09:06:00Z</dcterms:created>
  <dc:creator>Li</dc:creator>
  <cp:lastModifiedBy>✅于俊义</cp:lastModifiedBy>
  <dcterms:modified xsi:type="dcterms:W3CDTF">2026-06-09T00:42:47Z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090848C02732434CB190F86D29D02A6F</vt:lpwstr>
  </property>
  <property fmtid="{D5CDD505-2E9C-101B-9397-08002B2CF9AE}" pid="4" name="KSOTemplateDocerSaveRecord">
    <vt:lpwstr>eyJoZGlkIjoiMTFlNjk0ZWZlZDhlOTc4Yzk3MTUxYzA4MTBiNDFkODciLCJ1c2VySWQiOiIyMjQ3MTE1NTMifQ==</vt:lpwstr>
  </property>
</Properties>
</file>